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fcdc6b841b4325"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46989</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ZAVOD ZA HITNU MEDICINU KARLOVAČKE ŽUPANIJE</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3.710.809,86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5.408.038,08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3.790.617,27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5.203.605,61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204.432,47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6.180,00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54.773,86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39.901,63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54.773,86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33.721,63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61,6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I PRIMITAKA (šifre X678-Y345)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170.710,84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Višak prihoda poslovanja u iznosu 204.432,47 ostvaren je najvećim dijelom plaćanjem faktura ispostavljenih HZZO temeljem ugovornog odnosa i obavljanjem usluga sanitetskog prijevoza, te kamata na depozite i vlastitih prihoda. Preneseni manjak prihoda poslovanja iz prethodne godine iznosi 21.963,48 eura i odnosi se na rashode nastale na projektima koji se financiraju iz EU fondova.
Manjak prihoda od nefinancijske imovine 33.721,63  odnosi se na rashode  izvora  HZZO posebne namjene za redovno poslovanje. Preneseni  višak prihoda  od nefinancijske imovine iz prethodne godine iznosi 283.735,61 eura.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temeljem prijenosa EU sredstava (šifre 6381+6382)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19.569,86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21.997,64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112,4</w:t>
            </w:r>
          </w:p>
        </w:tc>
      </w:tr>
    </w:tbl>
    <w:p>
      <w:pPr>
        <w:spacing w:before="0" w:after="0"/>
      </w:pPr>
    </w:p>
    <w:p>
      <w:pPr>
        <w:jc w:val="both"/>
        <w:pStyle w:val="Normal"/>
        <w:spacing w:line="240" w:lineRule="auto"/>
      </w:pPr>
      <w:r>
        <w:rPr>
          <w:sz w:val="24"/>
          <w:rFonts w:ascii="Times New Roman" w:hAnsi="Times New Roman"/>
        </w:rPr>
        <w:t>Tekuće pomoći se odnose na provođenje projekata specijalističkog usavršavanja  medicinskih tehničara u djelatnosti hitne medicine iz EU fondova.
Prihod u iznosu 21.997,64 eura  iskazan je temeljem doznačenih zahtjeva za nadoknadom sredstava za odobrene troškove specijalizacije  medicinskih tehničara.
Zavod za hitnu medicinu samostalno obračunava temeljem pruženih usluga zahtjeve za nadoknadom sredstava za troškove specijalizacije  medicinskih tehničara na temelju Ugovora o dodjeli bespovratnih sredstava za projekte koji se financiraju iz Europskog socijalnog fonda u financijskom razdoblju 2014-2020 Specijalizacijom do visokokvalitetnih usluga hitne medicine, te  predaje  zahtjev za nadoknadom sredstva već plaćenih troškova.
</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financijske imovine (šifre 6412 do 6419)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286,10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239,55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83,7</w:t>
            </w:r>
          </w:p>
        </w:tc>
      </w:tr>
    </w:tbl>
    <w:p>
      <w:pPr>
        <w:spacing w:before="0" w:after="0"/>
      </w:pPr>
    </w:p>
    <w:p>
      <w:pPr>
        <w:jc w:val="both"/>
        <w:pStyle w:val="Normal"/>
        <w:spacing w:line="240" w:lineRule="auto"/>
      </w:pPr>
      <w:r>
        <w:rPr>
          <w:sz w:val="24"/>
          <w:rFonts w:ascii="Times New Roman" w:hAnsi="Times New Roman"/>
        </w:rPr>
        <w:t>Prihodi su ostvareni s temelja kamata na depozite  po viđenju kojih je u 2025.godini  bilo manje  od prethodne godine.</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3.615,40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8.787,59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243,1</w:t>
            </w:r>
          </w:p>
        </w:tc>
      </w:tr>
    </w:tbl>
    <w:p>
      <w:pPr>
        <w:spacing w:before="0" w:after="0"/>
      </w:pPr>
    </w:p>
    <w:p>
      <w:pPr>
        <w:jc w:val="both"/>
        <w:pStyle w:val="Normal"/>
        <w:spacing w:line="240" w:lineRule="auto"/>
      </w:pPr>
      <w:r>
        <w:rPr>
          <w:sz w:val="24"/>
          <w:rFonts w:ascii="Times New Roman" w:hAnsi="Times New Roman"/>
        </w:rPr>
        <w:t>Prihodi su ostvareni s temelja osiguranja i refundacije štete u iznosu 8.787,59 eura kojih je u 2025 godini bilo više  od prethodne godine.</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te pruženih usluga (šifre 6614+6615)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49.817,53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21.661,00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43,5</w:t>
            </w:r>
          </w:p>
        </w:tc>
      </w:tr>
    </w:tbl>
    <w:p>
      <w:pPr>
        <w:spacing w:before="0" w:after="0"/>
      </w:pPr>
    </w:p>
    <w:p>
      <w:pPr>
        <w:jc w:val="both"/>
        <w:pStyle w:val="Normal"/>
        <w:spacing w:line="240" w:lineRule="auto"/>
      </w:pPr>
      <w:r>
        <w:rPr>
          <w:sz w:val="24"/>
          <w:rFonts w:ascii="Times New Roman" w:hAnsi="Times New Roman"/>
        </w:rPr>
        <w:t>Prihodi se odnosi na održane edukacije iz područja hitne medicine te na usluge pružanja hitne medicinske pomoći migrantima, strancima i ostalim korisnicima  u 2025.godini u iznosu 21.661,00 eura . Prihodi su manji   od prethodnog razdoblja u skladu sa  pruženim zdravstvenim uslugama i uslugama  sanitetskog prijevoza u zdravstvenoj ustanovi.
Zdravstvene usluge pružene migrantima potražuju se od Ministarstva zdravstva.
</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HZZO-a na temelju ugovornih obveza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3.549.290,01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5.204.283,18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146,6</w:t>
            </w:r>
          </w:p>
        </w:tc>
      </w:tr>
    </w:tbl>
    <w:p>
      <w:pPr>
        <w:spacing w:before="0" w:after="0"/>
      </w:pPr>
    </w:p>
    <w:p>
      <w:pPr>
        <w:jc w:val="both"/>
        <w:pStyle w:val="Normal"/>
        <w:spacing w:line="240" w:lineRule="auto"/>
      </w:pPr>
      <w:r>
        <w:rPr>
          <w:sz w:val="24"/>
          <w:rFonts w:ascii="Times New Roman" w:hAnsi="Times New Roman"/>
        </w:rPr>
        <w:t>Prihod ostvaren od  Hrvatskog zavoda za zdravstveno osiguranje temeljem ugovornog odnosa i obavljanjem usluga zdravstvene djelatnosti HZZO-a u 2025 godini je veći od prethodne godine radi povećanja broja timova i vrijednosti ugovorenih timova te obavljanja nove djelatnosti  sanitetskog prijevoza od 1.travnja 2024 godine.</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zaposlene (šifre 311+312+313)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3.106.155,34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4.286.792,77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138,0</w:t>
            </w:r>
          </w:p>
        </w:tc>
      </w:tr>
    </w:tbl>
    <w:p>
      <w:pPr>
        <w:spacing w:before="0" w:after="0"/>
      </w:pPr>
    </w:p>
    <w:p>
      <w:pPr>
        <w:jc w:val="both"/>
        <w:pStyle w:val="Normal"/>
        <w:spacing w:line="240" w:lineRule="auto"/>
      </w:pPr>
      <w:r>
        <w:rPr>
          <w:sz w:val="24"/>
          <w:rFonts w:ascii="Times New Roman" w:hAnsi="Times New Roman"/>
        </w:rPr>
        <w:t>Na ovoj stavci se knjiže plaće zaposlenika  za redovan i prekovremeni rad,  (hitna medicina- liječnici, medicinsko osoblje ) s pripadajućim doprinosom za obvezno zdravstveno osiguranje, te plaće isplaćene po sudskim presudama za tužbe medicinskih djelatnika.
Isto tako na ovoj stavci vode se rashodi za ostala prava zaposlenika poput regresa, božićnice, dara za djecu i sl., te isplaćeni neiskorišteni godišnji odmor koja bilježe povećanje  u odnosu na prethodnu godinu. 
Rashodi za plaće su povećani sukladno novoj Uredbi o nazivima radnih mjesta, uvjetima za raspored i koeficijentima za obračun plaće u javnim službama koja se odnosi na obračun plaće od ožujka prethodne  2024. godine.
Sindikati javnih službenika i namještenika i Vlada Republike Hrvatske sklopili su Temeljni kolektivni ugovor za zaposlenike u javnim službama (Nar. nov. br. 29/24) kojim se je pojavilo novo materijalno pravo radnika, uskrsnica i isplaćuje se od prethodne godine 2024.  u iznosu od 100 eura. Dosadašnji dodatci su božićnica, regres i dar za dijete.
U ostalim rashodima za zaposlene evidentirane su i isplate neiskorištenih godišnjih odmora liječnika.
Porast  bilježe  plaće za prekovremeni rad koji su u svezi sa povećanjem osnovice i koeficijentom za obračun plaće. Povećanje prekovremenog rada bilježi se i zbog djelatnosti sanitetskog prijevoza koje u prethodnoj godini nije bilo u ovom obračunskom razdoblju.
Plaće za posebne uvjete rada nemaju iskazan podatak zbog zakonskih promjena obračuna plaća te nisu zasebno iskazani.
Ukupni rashodi za zaposlene porasli su u odnosu na prošlu godinu zbog  povećanja broja zaposlenika i nove djelatnosti sanitetskog prijevoza , isplatom  prekovremenog rada, nagrada i ostalih prava zaposlenika.
</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Materijalni rashodi (šifre 321+322+323+324+325+329)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660.877,85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894.823,57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135,4</w:t>
            </w:r>
          </w:p>
        </w:tc>
      </w:tr>
    </w:tbl>
    <w:p>
      <w:pPr>
        <w:spacing w:before="0" w:after="0"/>
      </w:pPr>
    </w:p>
    <w:p>
      <w:pPr>
        <w:jc w:val="both"/>
        <w:pStyle w:val="Normal"/>
        <w:spacing w:line="240" w:lineRule="auto"/>
      </w:pPr>
      <w:r>
        <w:rPr>
          <w:sz w:val="24"/>
          <w:rFonts w:ascii="Times New Roman" w:hAnsi="Times New Roman"/>
        </w:rPr>
        <w:t>Povećani su za 135,4 % u odnosu na prethodnu godinu u skladu sa povećanjem opsega djelatnosti za sanitetski prijevoz.
Povećanje bilježe materijal za održavanje i auto gume te komunalne i računane  usluge u skladu sa stvarnim troškovima.
Rashodi po osnovi utroška lijekova i potrošnog medicinskog materijala kod zdravstvenih ustanova se zasebno  iskazuju prvi put u ovoj godini na novom kontu 325 u skladu s novim Pravilnikom o proračunskom računovodstvu i Računskom planu (NN 158/23) te nemaju usporedni podatak prethodnog razdoblja.
U prethodnoj godini rashodi lijekova i potrošnog medicinskog materijala iskazivali su se na poziciji Materijal i sirovine šifra 3222 te stoga ta šifra bilježi značajno smanjenje u ovoj godini.
Energija koju čine električna energija, toplana, gorivo, lož ulje i plin je povećana  uslijed povećanja opsega djelatnosti te uslijed tržišnih čimbenika koji su utjecali na troškova benzina i lož ulja i električne energije i uz racionalnu potrošnje goriva  timova  HMP.
Naknade za prijevoz su povećane uslijed povećanja broja djelatnika sanitetskog prijevoza.
Povećanje  izdataka za radnu odjeću medicinskih radnika   sukladno je stvarnim  potrebama.
Povećanje bilježe i troškovi tekućeg održavanja vozila HMP i sanitetskih vozila uslijed povećanog broja značajnih popravaka ,te povećani troškovi održavanja  opreme hitne medicine uslijed servisiranja opreme.
Usluge informiranja su povećane  uslijed objave oglasa i natječaja elektronskim putem i u tisku u skladu sa zakonskim uvjetima.
Računalne usluge su povećane u skladu sa potrebama za programom za obračunom sudskih presuda te  cijenama održavanja programa za medicinsku službu i praćenje vozila.
Zdravstvene usluge su povećane  zbog rada u timu T1 zdravstvenih radnika temeljem ugovora o poslovnoj suradnji i tu su evidentirana testiranja djelatnika na različita sredstva.
Ostale usluge koje čine troškovi  čišćenja i pranja ispostava i odjeće medicinskih djelatnika te troškovi tehničkih pregleda vozila Zavoda za hitnu medinu bilježe povećanje  u skladu sa stvarnim troškovima.
Ostala smanjenja rashoda poslovanja rezultat su racionalnog postupanja sa rashodima u poslovanju.
</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Financijski rashodi (šifre 341+342+343)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5.002,86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1.521,91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30,4</w:t>
            </w:r>
          </w:p>
        </w:tc>
      </w:tr>
    </w:tbl>
    <w:p>
      <w:pPr>
        <w:spacing w:before="0" w:after="0"/>
      </w:pPr>
    </w:p>
    <w:p>
      <w:pPr>
        <w:jc w:val="both"/>
        <w:pStyle w:val="Normal"/>
        <w:spacing w:line="240" w:lineRule="auto"/>
      </w:pPr>
      <w:r>
        <w:rPr>
          <w:sz w:val="24"/>
          <w:rFonts w:ascii="Times New Roman" w:hAnsi="Times New Roman"/>
        </w:rPr>
        <w:t>Usluge platnog prometa bankarskih usluga PBZ d.d. bilježe povećanje  u odnosu na prethodnu godinu. 
Negativne tečajne razlike  posljedica su plaćanja računa u inozemstvo te ovisi o tečaju valuta u ovoj godini nisu evidentirane.  
Zatezne kamate i ostali nespomenuti financijski rashodi  odnose se na obračun u odnosu na valutu plaćanja računa  u obračunskom razdoblju  i  na utužene plaće zdravstvenih djelatnika  koje su isplaćene.</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na temelju osiguranja i druge naknade (šifre 371+372)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18.581,22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20.467,36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110,2</w:t>
            </w:r>
          </w:p>
        </w:tc>
      </w:tr>
    </w:tbl>
    <w:p>
      <w:pPr>
        <w:spacing w:before="0" w:after="0"/>
      </w:pPr>
    </w:p>
    <w:p>
      <w:pPr>
        <w:jc w:val="both"/>
        <w:pStyle w:val="Normal"/>
        <w:spacing w:line="240" w:lineRule="auto"/>
      </w:pPr>
      <w:r>
        <w:rPr>
          <w:sz w:val="24"/>
          <w:rFonts w:ascii="Times New Roman" w:hAnsi="Times New Roman"/>
        </w:rPr>
        <w:t>Naknade se odnose na školarine za program obučavanja vozača za djelatnost hitne medicine i školarine za program specijalističkog usavršavanja prvostupnika sestrinstva u djelatnosti hitne medicine.</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Dodatna ulaganja na građevinskim objektima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1.187,50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26.279,55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2213,0</w:t>
            </w:r>
          </w:p>
        </w:tc>
      </w:tr>
    </w:tbl>
    <w:p>
      <w:pPr>
        <w:spacing w:before="0" w:after="0"/>
      </w:pPr>
    </w:p>
    <w:p>
      <w:pPr>
        <w:jc w:val="both"/>
        <w:pStyle w:val="Normal"/>
        <w:spacing w:line="240" w:lineRule="auto"/>
      </w:pPr>
      <w:r>
        <w:rPr>
          <w:sz w:val="24"/>
          <w:rFonts w:ascii="Times New Roman" w:hAnsi="Times New Roman"/>
        </w:rPr>
        <w:t>Dodatno ulaganja na građevinskim objektima u 2025 godini iznosilo je 26.279,55 eura i najvećim djelom se odnosi na radove Rekonstrukcije zgrade Zavoda za hitnu medicinu - Sjedište Karlovac.</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Nema dospjelih obveza na kraju izvještajnog razdoblja.</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cb568ba4cb4c496b" /></Relationships>
</file>